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616F">
      <w:pPr>
        <w:pStyle w:val="2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>Несвижский замок</w:t>
      </w:r>
    </w:p>
    <w:p w14:paraId="0BE80A6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71120</wp:posOffset>
            </wp:positionV>
            <wp:extent cx="4210685" cy="2723515"/>
            <wp:effectExtent l="0" t="0" r="18415" b="635"/>
            <wp:wrapTight wrapText="bothSides">
              <wp:wrapPolygon>
                <wp:start x="0" y="0"/>
                <wp:lineTo x="0" y="21454"/>
                <wp:lineTo x="21499" y="21454"/>
                <wp:lineTo x="21499" y="0"/>
                <wp:lineTo x="0" y="0"/>
              </wp:wrapPolygon>
            </wp:wrapTight>
            <wp:docPr id="9" name="Рисунок 9" descr="Услуги и цены — музей-заповедник «Несвиж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Услуги и цены — музей-заповедник «Несвиж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0D054">
      <w:pPr>
        <w:rPr>
          <w:rFonts w:ascii="Times New Roman" w:hAnsi="Times New Roman" w:cs="Times New Roman"/>
          <w:sz w:val="40"/>
          <w:szCs w:val="40"/>
        </w:rPr>
      </w:pPr>
    </w:p>
    <w:p w14:paraId="3DDBE3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-1981835</wp:posOffset>
            </wp:positionV>
            <wp:extent cx="1433830" cy="948055"/>
            <wp:effectExtent l="0" t="0" r="13970" b="4445"/>
            <wp:wrapTight wrapText="bothSides">
              <wp:wrapPolygon>
                <wp:start x="0" y="0"/>
                <wp:lineTo x="0" y="21267"/>
                <wp:lineTo x="21236" y="21267"/>
                <wp:lineTo x="21236" y="0"/>
                <wp:lineTo x="0" y="0"/>
              </wp:wrapPolygon>
            </wp:wrapTight>
            <wp:docPr id="1" name="Рисунок 1" descr="http://sch144.minsk.edu.by/ru/sm.aspx?guid=1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ch144.minsk.edu.by/ru/sm.aspx?guid=158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"http://niasvizh.by/by/mediatheque/virtual-tour/"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40"/>
          <w:szCs w:val="40"/>
        </w:rPr>
        <w:t>http://niasvizh.by/by/mediatheque/virtual-tour/</w:t>
      </w:r>
      <w:r>
        <w:rPr>
          <w:rStyle w:val="5"/>
          <w:rFonts w:ascii="Times New Roman" w:hAnsi="Times New Roman" w:cs="Times New Roman"/>
          <w:sz w:val="40"/>
          <w:szCs w:val="40"/>
        </w:rPr>
        <w:fldChar w:fldCharType="end"/>
      </w:r>
    </w:p>
    <w:p w14:paraId="0BA130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Расположен:</w:t>
      </w:r>
      <w:r>
        <w:rPr>
          <w:rFonts w:ascii="Times New Roman" w:hAnsi="Times New Roman" w:cs="Times New Roman"/>
          <w:sz w:val="40"/>
          <w:szCs w:val="40"/>
        </w:rPr>
        <w:t xml:space="preserve"> Минская область, Несвижский район, Несвиж, Ленинская улица, 19</w:t>
      </w:r>
    </w:p>
    <w:p w14:paraId="06D0E62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Памятник архитектуры XVI-XVII вв., объект всемирного наследия ЮНЕСКО.</w:t>
      </w:r>
      <w:r>
        <w:rPr>
          <w:rFonts w:ascii="Times New Roman" w:hAnsi="Times New Roman" w:cs="Times New Roman"/>
          <w:sz w:val="40"/>
          <w:szCs w:val="40"/>
        </w:rPr>
        <w:br w:type="textWrapping"/>
      </w:r>
      <w:r>
        <w:rPr>
          <w:rFonts w:ascii="Times New Roman" w:hAnsi="Times New Roman" w:cs="Times New Roman"/>
          <w:sz w:val="40"/>
          <w:szCs w:val="40"/>
        </w:rPr>
        <w:t>Дворцово-парковый ансамбль XVI-XIX вв. в г. Несвиже расположен на северо-востоке города, в окружении прудов реки Уши. Инициатива возведения каменного замка принадлежит первому несвижскому ординату Николаю Христофору Радзивиллу «Сиротке» (1549–1616)</w:t>
      </w:r>
    </w:p>
    <w:p w14:paraId="3B0965D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 охрану государства дворец был взят в 1939 г. В 2001 г. Дворцовый ансамбль передан на баланс Национального историко-культурного музея-заповедника «Несвиж», в 2012 г. завершены реставрационные работы и для посетителей открылись экспозиционные залы. На сегодняшний день в Несвижском замке работает более 30 выставочных залов.</w:t>
      </w:r>
      <w:bookmarkStart w:id="0" w:name="_GoBack"/>
      <w:bookmarkEnd w:id="0"/>
    </w:p>
    <w:sectPr>
      <w:pgSz w:w="11906" w:h="16838"/>
      <w:pgMar w:top="1000" w:right="86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GI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2026-01-13T09:21:46Z</dcterms:created>
  <dc:creator>user</dc:creator>
  <cp:lastModifiedBy>user</cp:lastModifiedBy>
  <dcterms:modified xsi:type="dcterms:W3CDTF">2026-01-13T09:22:26Z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B85B2D24DDFE47F7B5E8F2DA74AB6926_12</vt:lpwstr>
  </property>
</Properties>
</file>